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2.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 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Második osztály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Gyermekdalok, gyermekjátékdalok, mindennapi élethelyzetek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letképek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 egy királyfi;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Ess, eső, ess;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jeles napokra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csoportosan vagy önállóan, életkorának és hangi sajátosságainak megfelelő hangmagasságban énekel, törekszik a tiszta intonációra;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hangerővel tud énekelni;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zenei produkciók kifejező előadásmódján a pedagógus visszajelzése alapján alakít;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dalokhoz kapcsolódó játékokban, táncokban, dramatizált előadásokban osztálytársaival aktívan részt vesz;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hangszerkíséretes dalokat énekel tanára vagy hangszeren játszó osztálytársa kíséretével;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tanult, énekelt zenei anyaghoz köthető szolmizációs hangokat;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kézjelről énekel;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belső hallása fejlődik.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emlékezetből énekel legalább 20 gyermekdalt;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jó testtartással, helyes légzéssel, megfelelő tempóban, artikulálva énekel c’ – d” hangterjedelemben;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elsajátítja a jól intonált, kifejező éneklés alapjait;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alkotóként vesz részt gyermekjátékdalok előadásában;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 a dalokban felfedezi önmagát, s így azonosulni tud velük;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iskola vagy a helyi közösség hagyományos ünnepein.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gyermekdalok és népdalok hallás utáni megtanulása és éneklése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tiszta intonációjának fejlesztése az éneklés helyes szokásainak gyakorlásával, mint egyenes testtartás, helyes légzés, artikuláció, szolmizációs kézjelről való éneklés.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előadói készség fejlesztése tevékenységeken keresztül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befogadói készség fejlesztése hallás utáni daltanítás kapcsán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gyermeki világ felfedezése a tanult dalokban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Évfolyamonként legalább 35 magyar gyermekdal és népdal hallás utáni ismerete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dalokhoz kapcsolódó játékok elsajátítása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Egyenes testtartás, helyes légzés, artikuláció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kézjel, mint jelrendszer ismerete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Szolmizációs kézjelről való éneklés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kézjel, szolmizáció, hangszerkíséret, körjáték, gyermekjátékdal, Népdal, néptánc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motiváció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 Zenehallgatás / Második osztály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Hajnövesztő – gyermekkar; Csillagoknak teremtője – duett; Nagyszalontai köszöntő – gyermekkar; Bartók Béla: Cipósütés – gyermekkar; Gyermekeknek I./1. Játszó gyermekek (Süssünk, süssünk valamit); I./4. Párnatánc (Elvesztettem zsebkendőmet); I./6. Balkéztanulmány (Hej, tulipán); I./7. Játékdal (Keresd meg a tűt); I./17. Körtánc (Kis kece lányom); II./23. Táncdal (Hopp, Juliska); II./27. Tréfa (A gúnárom elveszett); Bartók Béla: Mikrokozmosz – Mese a kis légyről;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Betlehemes /A kis Jézus aranyalma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és megnevezi a hangerő, hangszín, hangmagasság változásait, az őt körülvevő világ hangjaiban, tanult dalokban, zeneművekben;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zenehallgatási élményekkel gazdagodik;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az énekelve megtanult dalt, feldolgozás formájában is;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asszociálni a hallott zenében megjelenített állatokra, életképekre;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több, a mindennapokhoz, továbbá alkalmakhoz, ünnepekhez, jeles napokhoz fűződő zenei részletet;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hallgatott zenét adott szempontok alapján megfigyeli, és ezekről tanári kérdések segítségével szóban beszámol;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zenei aktivitáson keresztül megtapasztalja a zenei befogadás örömét;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zongora hangját;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megkülönbözteti a gyermekkar és a vegyeskar hangzását;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 tudja különböztetni a szólóhangszer hangzását a zenekari hangzástól;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képzelete és kreatív gondolkodása fejlődik;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 érzelmi azonosulásra;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egyre hosszabb zenei részletekre képes figyelni;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megérteni az zenék üzenetét;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szóval, rajzzal, tánccal és/vagy szabad mozgás improvizációval – egyénileg, párban vagy csoportosan – kifejezi a zene által benne keltett érzéseket.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énekes anyaghoz kapcsolódó és az életkornak megfelelő, különböző stílusú, korú és műfajú zenék hallgatása;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Cselekményes zenékben az egyes szereplők zenei ábrázolásának megfigyelése;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Hangutánzások, hangszínek, ellentétek megfigyelése a hallgatott zenékben;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kifejezése szóval, rajzzal, tánccal és/vagy szabad mozgás improvizációval;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ráhangolódás a hallgatott zeneművekre;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Emberi hangfajták (gyermek, női, férfihang) megfigyelése a tanult zenei anyagban;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hangszerek hangszínének megfigyelése a tanult zenei anyagban;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szóló és kórus, szólóhangszer és zenekar megkülönböztetése, megnevezése a tanult zenei anyagban.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népdalfeldolgozás, duó, énekhang, zongoramű, vegyeskar, gyermekkar, kíséret, zenekar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tempó és az egyenletes lüktetés fogalmát;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mérőt és a ritmust;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testét hangszerként is használja;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ritmushangszereket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és hangoztatja az egyenletes mérőt a tanult dalokban, zenei szemelvényekben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az ütemhangsúlyt;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tapsolja a dalok, mondókák ritmusát;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hangoztatja a negyed, nyolcadpár, fél értékű  ritmusokat, a negyed és a fél értékű szünetet, tájékozódik a 2/4-es ütemben, felismeri és használja az ütemvonalat, záróvonalat, az ismétlőjelet;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mondókákat alkot, ritmusokat rögtönöz.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mérő hangoztatása éneklés és esetenként zenehallgatás közben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hangsúly érzékeltetése és reprodukciója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Alapritmusok gyakorlása 2/4-es ütemben mozgással, testhangszerrel (pl. taps, csettintés, combütögetés, dobbantás), a tanuló által készített hangkeltő eszközökkel, és ritmusnevekkel csoportosan és párban: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hangsúly érzékeltetésével,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mondókák, gyermekversek ritmusának hangoztatásával,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felelgetős ritmusjátékokkal,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ritmussorok rögtönzésével pl. egy szó vagy érzelem kifejezésére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Ritmuskánon és osztinátó gyakorlása egyszerű formában; 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Rögtönzés dallammal, ritmussal, ritmussorok alkotása változatos hangszínek használatával, testhangszer és  különböző hangkeltő eszközök és ritmushangszerek segítségével.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ritmushangszerek (pl. dobok, húrok, csörgők stb.) és hangkeltő eszközök készítése; Játékkal oldott zenei tevékenységek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lüktetés, mérő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Negyed, nyolcadpár, fél értékű kotta, a negyed és fél értékű szünet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2/4-es ütem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Ütemmutató, hangjegy, szünet, vonal-vonalköz, pótvonal, ütemvonal, kezdőhang – záróhang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Ritmikai kétszólamúság – osztinátó, ritmuskánon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ritmus, ismétlőjel, ütemmutató, ritmushangszer, Mérő, szünet, ütem, ütemvonal, záróvonal, rögtönzés, ötvonalas rendszer, vonal-vonalköz, pótvonal, kezdőhang - záróhang, gyors, lassú, osztinátó, ritmuskánon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a hangok egymásutánját, különböző hangszíneket, ellentétes dinamikai szinteket, ezeket felismeri az őt körülvevő világ hangjaiban, tanult dalokban, zeneművekben;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különbséget a hangerő, hangszín, hangmagasság fogalmai között;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 dallamsorokat rögtönöz;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örömmel vesz részt az alkotói folyamatokban.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megismeri, énekli és alkalmazza a pentaton hangkészlet hangjait;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dalokat tanári segítséggel szolmizálva énekli, kézjelekkel mutatja;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fenti hangkészletben különböző gyakorlási formákban használja, belső hallása fejlődik;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lényegét;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dalok, zenei részletek éneklésekor tudja változtatni hangerejét a zenei kifejezésnek megfelelően;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hangszíneket, ellentétes dinamikai szinteket hallás után megfigyel és reprodukál.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hangerő, hangszín, hangmagasság változásainak megfigyelése és megnevezése a környező világ hangjaiban, tanult dalokban, zeneművekben;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Magas és mély hangok megfigyelése a tanult dalokban;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Hangszínek és ellentétes dinamikai szintek gyakorlása hangutánzással, felelgetős játékokkal;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hallás fejlesztése dallambújtatással;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 éneklése, gyakorlása egyszerű formában;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Rövid dallamsorok rögtönzése pl. saját névre;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testhangszerek (pl. taps, csettintés, combütögetés, dobbantás), és a   tanuló által készített hangkeltő eszközök hangszínének megfigyelése és azok improvizatív használata egy szó vagy érzelem kifejezésére;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hangjainak ismerete kiegészülve az alsó „lá”-val;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kézjeleinek ismerete és kézjelről történő éneklése;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 éneklésmódjának elsajátítása.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halk, dallam, kánon, dallamsor, hangerő, hangszín, hangmagasság, hangos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azonosítja az alapvető zenei jelenségeket (hangmagasság, dallamvonal, és időbeli viszonyok) a kottában;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kottaképről azonosítja a hallás után tanult dalokat;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érzékeli, hogy ugyanaz a dallamrészlet különböző magasságokban írható, olvasható.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ritmusokat a tanult értékekkel;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dallamfordulatokat a tanult dallamhangokkal;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egyszerű kottában tájékozódni;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jellemzőit, illetve előnyeit.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hallás után tanult dalok kottából való azonosításának előkészítése különböző eszközökkel (pl. a dallamvonal lerajzolásával, mozgással stb.);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hangmagasság, dallamvonal, és időbeli viszonyok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kottakép alapvető funkcionális elemeinek felismerése: ütemmutató, hangjegy, szünet, vonal – vonalköz, pótvonal, ütemvonal, kezdőhang-záróhang stb.;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figyelem, az összpontosítás fejlesztése egyszerű zenei írás – olvasási feladatok segítségével;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finommotorikus mozgások gyakorlása egyszerű zenei írás feladatok segítségével;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Negyed, nyolcadpár, fél értékű kotta, a negyed és fél értékű szünet grafikai képe és írása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Ütemvonal és záróvonal grafikai képe és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lá - szó - mi - ré-dó- alsó lá szolmizációs hangok leírása fokozatos bevezetéssel, különböző hangmagasságokban.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Hangjegy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2.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