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Vizuális kultúra 2.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Vizuális kifejezőeszközök – Érzékelés, jellemzők, tapasztalat</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Különböző érzékszervi tapasztalatok (pl. szaglás, hallás, tapintás, látás) élményszerű feldolgozása alapján, egyszerű következtetések szóbeli megfogalmazása és az élmények, kialakult érzések vizuális megjelenítése különböző eszközökkel síkban és térben (pl. rajz, festés, mintázás, építés/konstruálás, tárgyalkotás).</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 tanulás során felmerülő helyzetekben valós környezeti jellemzők (pl. téli táj, növény részei, osztályterem színei), képek és ábrák (pl. tankönyvi ábra, saját vagy társak rajza) célirányos megfigyelése, és a tapasztalatok szöveges megfogalmazása a látott  információk pontos leírása és feldolgozása érdekében.</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Közvetlen megfigyelések útján szerzett konkrét vizuális tapasztalatok (pl. nagyság, felület, méret, irány, mennyiség, anyagszerűség, elhelyezkedés) alapján vizuális jellemzők kiválasztása, csoportosítása, megnevezése (pl. legsötétebb szín, legnagyobb forma, a kép jobb oldalán elhelyezkedő figura), és az érzékszervi tapasztalatok következetes felhasználása az  alkotómunka során.</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Megadott szempontok alapján természeti  és mesterséges tárgyak gyűjtése, megfigyelése, és a megfigyelések alapján a tárgyak pontos leírása és változatos vizuális megjelenítése játékos feladatokban.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sík, tér, méret, irány, szín, felület, képelem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Síkbeli és térbeli alkotások – Mese, fantázia, képzelet, személyes élmények</w:t>
      </w:r>
    </w:p>
    <w:p w:rsidP="00000000" w:rsidRDefault="00000000" w:rsidR="00000000" w:rsidRPr="00000000" w:rsidDel="00000000">
      <w:pPr>
        <w:contextualSpacing w:val="0"/>
      </w:pPr>
      <w:r w:rsidR="00000000" w:rsidRPr="00000000" w:rsidDel="00000000">
        <w:rPr>
          <w:rtl w:val="0"/>
        </w:rPr>
        <w:t xml:space="preserve">Javasolt óraszám: 28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élmények, elképzelt vagy hallott történetek, szövegek részleteit különböző vizuális eszközökkel egyszerűen megjeleníti: rajzol, fest, nyomtat, fotóz, formáz, épít;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rövid szövegekhez, egyéb tananyagtartalmakhoz síkbeli és térbeli vizuális illusztrációt készít különböző vizuális eszközökkel: rajzol, fest, nyomtat, fotóz, formáz, épít és a képet, tárgyat szövegesen értelmezi;</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egyszerű eszközökkel és anyagokból elképzelt teret rendez, alakít, egyszerű makettet készít egyénileg vagy csoportmunkában, és az elképzelést szövegesen is bemutatja, magyarázza;</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elképzelt történeteket, irodalmi alkotásokat bemutat, dramatizál, ehhez egyszerű eszközöket: bábot, teret/díszletet, kelléket, egyszerű jelmezt készít csoportmunkában, és élményeit szövegesen megfogalmazza;</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saját és társai vizuális munkáit szövegesen értelmezi, kiegészíti, magyarázza;</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saját történetet alkot, és azt vizuális eszközökkel is tetszőlegesen megjeleníti;</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különböző egyszerű anyagokkal kísérletezik, szabadon épít, saját célok érdekében konstruál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élmények, elképzelt vagy hallott történetek, szövegek részleteit különböző vizuális eszközökkel egyszerűen megjeleníti: rajzol, fest, nyomtat, fotóz, formáz, épít;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 tanulás során szerzett tapasztalatait, saját céljait, gondolatait vizuális megjelenítés segítségével magyarázza, illusztrálja egyénileg és csoportmunkában;</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saját és mások érzelmeit, hangulatait segítséggel megfogalmazza és egyszerű dramatikus eszközökkel eljátssza, vizuális eszközökkel megjeleníti;</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korábban átélt eseményeket, tapasztalatokat, élményeket különböző vizuális eszközökkel, élményszerűen megjelenít: rajzol, fest, nyomtat, formáz, épít, fotóz és magyarázza azt;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azonosítja a nonverbális kommunikáció eszközeit: mimika, gesztus, ezzel kapcsolatos tapasztalatait közlési és kifejezési helyzetekben használja;</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valós vagy digitális játékélményeit vizuálisan és dramatikusan feldolgozza: rajzol, fest, formáz, nyomtat, eljátszik, elmesél;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adott álló- vagy mozgóképi megjelenéseket egyéni elképzelés szerint átértelmez.</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Elképzelt vagy hallott történetek, rövid szövegek, irodalmi (pl. mese, vers) vagy zenei élmények (gyermekdal, gyermekjáték, mondóka) különböző részleteinek vizuális bemutatása a saját ötletek megjelenítése érdekében, különböző eszközökkel síkban és térben (pl. színes rajz, festmény, nyomat, kollázs, plasztika, makett, tabló), és a  kitalált vizuális ötletek szöveges magyarázatával (Illusztráció síkban, vagy térben) Szemléltetésre ajánlott képanyag: Réber László, Reich Károly, Henzelmann Emma, Sajdik Ferenc illusztrációi.</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Saját kitalált történet elmesélése, és a történet néhány fontosabb jelenetének többalakos vizuális megjelenítése tetszőleges eszközökkel.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Korábban átélt események, különböző személyes élmények felidézése és tetszőleges megjelenítése különböző eszközökkel síkban és térben (térábrázolási képesség, emberábrázolás, kifejezőképesség fejlesztése) Szemléltetésre ajánlott képanyag: Turner tájképei, Brueghel: Gyerekjátékok, Parasztlakodalom, Vankóné Dudás Juli: Jeles napok, népélet.</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Képek, vizuális műalkotások átértelmezése (emberábrázolás, differenciált arcábrázolás, térábrázolási képesség fejlesztése Szemléltetésre ajánlott képanyag: Szentkorona zománcképei, Szent László legendák, XI-XII. századi freskók, Csontváry Kosztka Tivadar tájképei.</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Személyes érzelmek, hangulatok kifejezése képalkotásban (kifejező képalkotás, kifejező jellegű plasztikus alkotás) Munkácsy Mihály: Ásító inas, Mednyánszky László: Verekedés után, E. Delacroix: Vihartól megrémült ló.</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Adott érzelmi állapot (pl. boldogság, rémület, tanácstalanság) kifejezése arcjátékkal és gesztusokkal, az érzelmek kifejezési lehetőségeinek tudatosítása érdekében. A tapasztalatok felhasználása egyszerű vizuális megjelenítés során (emberábrázolás, differenciált arc ábrázolás, kézábrázolás) Szemléltetésre ajánlott képanyag: Anna Margit: Rémület, Rembrandt és Saskia, Paul Klee: Önarckép, Leonardo da Vinci: Mona Lisa, Modigliani portréképei.</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Olvasmány- vagy zenei élményhez a jelentést vagy hangulatot erősítő vizuális illusztráció készítése választott technikával, és az elkészült alkotás szöveges magyarázatával.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Magyar népmesékhez, népi mondókákhoz, népdalokhoz vizuális illusztráció készítése hagyományos, ember- vagy állatábrázolást is megjelenítő népművészeti alkotások (karcolozott, faragott pásztorművészeti tárgyak) stíluselemeinek felhasználásával.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Tanult irodalmi, zenei élmények, és médiaélmények (pl. mese, vers, gyermekdal, zenemű, animációs film) fontos helyszíneinek és szereplőinek megjelenítése síkban (pl. rajz, festés, vegyes technika) és térben egyszerű eszközök felhasználásával (pl. drapéria, kartondoboz, paraván, osztályterem átrendezése) csoportmunkában is.</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Irodalmi, zenei és médiaélmények (pl. mese, vers, gyermekdal, zenemű, animációs film) fontos helyszíneinek és szereplőinek megjelenítése egyszerű eszközök felhasználásával (tárgyakkal való bábozás, tárgyak megszemélyesítése) Szemléltetésre ajánlott: Foky Ottó: Ellopták a vitaminomat, 1966, Babfilm, 1975.</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Mozgásélmények (pl. tánc, csoportos játék, körjáték, körtánc) vizuális átírása (pl. vonalakkal, foltokkal, színekkel).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történet, szereplő, helyszín, vizuális jellemzők/karakter, illusztráció, vizuális technikák, népművészeti technikák, faragás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Vizuális információ – Vizuális jelek a környezetünkben</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tanulás során szerzett tapasztalatait, saját céljait, gondolatait vizuális megjelenítés segítségével magyarázza, illusztrálja egyénileg és csoportmunkában;</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vizuális nyelv elemeinek értelmezésével és használatával kísérletezik;</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az adott életkornak megfelelő tájékoztatást, meggyőzést, figyelemfelkeltést szolgáló, célzottan kommunikációs szándékú vizuális közléseket segítséggel értelmez;</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egyszerű, mindennapok során használt jeleket felismer;</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adott cél érdekében egyszerű vizuális kommunikációt szolgáló megjelenéseket – jel, meghívó, plakát – készít egyénileg vagy csoportmunkában;</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pontosan ismeri államcímerünk és nemzeti zászlónk felépítését, összetevőit, színeit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A tanulás során felmerülő helyzetekben tanítási egységekhez, és egyéb tantárgyi tartalmakhoz a tanulást vagy megértést segítő egyszerű ábra (pl. számegyenes, betűsablon, szókártya) és eszköz (pl. tabló, makett, társasjáték) készítése, személyes célok érvényesítésével.</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Kisgyerekeknek szóló könyvborítók, füzetek, hirdetések üzenetének elemzése tanári segítséggel, és a tapasztalatok felhasználása egyszerű tervezési feladatokban (pl. plakát, névtábla, utcatábla, házszámtábla készítése, füzetborító, csomagolópapír, meghívó tervezése).</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Közvetlen környezetében található jelek, jelzések (pl. útjelzés, közlekedési jelzés, piktogram, zenei kotta) gyűjtése, értelmezése tanítói segítséggel és a tapasztalatok felhasználása játékos feladatokban (pl. rajzolt közlekedési terepasztal és annak kiegészítése térbeli közlekedési táblákkal).</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Iskolai életében megjelenő szabályok kapcsán piktogramokat, rajzi jeleket alkot. Véleményt formál társai piktogramterveinek érthetőségével kapcsolatban.</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Magyar nemzeti szimbólumok gyűjtése (pl. államcímer, nemzeti zászló, Szent Korona, Kossuth-címer, ‘56-os lyukas zászló) és a szimbolikus elemek felhasználása az alkotó munka során  (pl. tárgyalkotás díszítményeként: huszárcsákó, párta).</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Magyar népi díszítőművészet jelkészletének gyűjtése, kísérletezés a szimbólumok értelmezésével (tulipán, nap, madármotívum, kígyó stb.), tanítói segítséggel, egyénileg, vagy csoportban.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jel, jelzés, vizuális üzenet, hirdetés, leegyszerűsítés, változat, díszítőmotívum, szimbólum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Médiahasználat – Valós és virtuális információk</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saját munkákat, képeket, műalkotásokat, mozgóképi részleteket szereplők karaktere, szín-, fényhatás, kompozíció, kifejezőerő szempontjából szövegesen elemez, összehasonlít;</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az adott életkornak megfelelő tájékoztatást, meggyőzést, figyelemfelkeltést szolgáló, célzottan kommunikációs szándékú vizuális közléseket segítséggel értelmez;</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adott cél érdekében fotót vagy rövid mozgóképet készít;</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valós vagy digitális játékélményeit vizuálisan és dramatikusan feldolgozza: rajzol, fest, formáz, nyomtat, eljátszik, elmesél.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Régi magyar reklámok (pl.  “Hurka Gyurka”, “Ezt nem lehet megunni”, “Bontott csirke”, “Forgó morgó” stb.) megnézéséhez.</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kapcsolódó tapasztalatok, érzések (pl. tetszés, kíváncsiság, félelem) megbeszélése és megjelenítése változatos eszközökkel (pl. rajzolás, festés, bábkészítés, szerepjáték). A megbeszélés eredményeként a valóság és a képzelet megkülönböztetése.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Kisgyerekeknek szóló célzottan kommunikációs szándékú mozgóképi megjelenések (pl. tv reklám, gyermekműsor) üzenetének elemzése tanári segítséggel, a kommunikációs célt szolgáló legfontosabb eszközök és az elért hatás megfigyelésével (pl. szín, képkivágás, hanghatás, szöveg), és a tapasztalatok felhasználása játékos feladatokban (pl. félelmetes-megnyugtató hangok gyűjtése, adott mozgóképi részlet hangulatának érzékeltetése színes kompozícióban).</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Különböző médiumok (pl. könyv, televízió, film, internet, videojáték) egyszerű példáinak elemzése tanári segítséggel, a valóságos és az elképzelt helyzetek azonosítása céljából.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információ, mozgókép, könyv, televízió, film, internet</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Álló- és mozgókép – Kép, hang, történet</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az adott életkornak megfelelő rövid mozgóképi közléseket segítséggel elemez, a vizuális kifejezőeszközök használatának tudatosítása érdekében;</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adott cél érdekében fotót vagy rövid mozgóképet készít;</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az adott életkornak megfelelő tájékoztatást, meggyőzést, figyelemfelkeltést szolgáló, célzottan kommunikációs szándékú vizuális közléseket segítséggel értelmez;</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időbeli történéseket egyszerű vizuális eszközökkel, segítséggel megjelenít;</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saját történetet alkot, és azt vizuális eszközökkel is tetszőlegesen megjeleníti;</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adott álló- vagy mozgóképi megjelenéseket egyéni elképzelés szerint átértelmez.</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Egyszerű mozgóképi részletek (pl. animációs film, reklámfilm) cselekményének elemzése, és a tapasztalatok felhasználása játékos feladatokban (pl. időbeli történés képkockáinak rendezése, hang nélkül bemutatott mozgóképi részletek “szinkronizálása“).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Egyszerű mozgóképi részletekben (pl. mesefilm, animációs film : Magyar népmesék, Rófusz Ferenc: A légy) hangok és a képek által közvetített érzelmek (pl. öröm, düh, félelem) azonosítása a hatások közös megbeszélésével.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Fotó- vagy rajzsorozat készítése a mindennapok során tapasztalható időbeli változások szemléltetése érdekében (pl. napirend, naplemente, Luca-búza fejlődése).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Mozgásillúziót keltő régi papírjátékok megismerése a tapasztalatok felhasználása önálló alkotó munkában (pl. “pörgetős mozi”).</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animációs film, képkocka, képregény, hanghatás, képsorozat</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Természetes és mesterséges környezet – Valós és kitalált tárgyak</w:t>
      </w:r>
    </w:p>
    <w:p w:rsidP="00000000" w:rsidRDefault="00000000" w:rsidR="00000000" w:rsidRPr="00000000" w:rsidDel="00000000">
      <w:pPr>
        <w:contextualSpacing w:val="0"/>
      </w:pPr>
      <w:r w:rsidR="00000000" w:rsidRPr="00000000" w:rsidDel="00000000">
        <w:rPr>
          <w:rtl w:val="0"/>
        </w:rPr>
        <w:t xml:space="preserve">Javasolt óraszám: 10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elképzelt történeteket, irodalmi alkotásokat bemutat, dramatizál, ehhez egyszerű eszközöket: bábot, teret/díszletet, kelléket, egyszerű jelmezt készít csoportmunkában, és élményeit szövegesen megfogalmazza;</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alkalmazza az egyszerű tárgykészítés legfontosabb technikáit: vág, ragaszt, tűz, varr, kötöz, fűz, mintáz;</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gyűjtött természeti vagy mesterséges formák egyszerűsítésével, vagy a magyar díszítőművészet általa megismert mintakincsének felhasználásával mintát tervez;</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adott cél érdekében alkalmazza a térbeli formaalkotás különböző technikáit egyénileg és csoportmunkában;</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különböző egyszerű anyagokkal kísérletezik, szabadon épít, saját célok érdekében konstruál.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Egyszerű természeti- és mesterséges formák elemző-értelmező rajzolása.</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készült rajzok leegyszerűsítésével sor- és terülődísz alkotása (megfigyelés utáni értelmező rajz készítése, részletkiemelés, nagyítás, átíró, redukáló motívumtervezés, sablonalakítás kivágással ismétlés sordísz alkotással, terülődísz alakzatba rendezéssel technika: stencilezés, átrajzolás, színezés, nyomat).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Egyszerű tárgy készítése hagyományos kézműves technikák alkalmazásával (pl. fonás, szövés, nemezelés, gyöngyfűzés, agyagozás).</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Képi inspiráció alapján (pl. természeti jelenségek, állatok, népművészeti motívumok) egyszerű mintaelem tervezése (pl. átrajzolás, rácsháló, indigó alkalmazása) A tervezés érdekében egyszerű rajzok készítése és szöveges magyarázata.</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Elképzelt, mesebeli tárgyak (pl. mindenkit megtáncoltató hangszer, láthatatlanná tevő ékszer, hároméltű jármű) tervezése és létrehozása választott egyszerű anyagokból (pl. papírpép, karton, hurkapálca, textil, gumi).</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Dramatikus játék céljára  ujjbáb, síkbáb, kellék (pl. varázspálca, “rámás csizma”, “kőleves”) jelmezelem (pl. kalap, maszk, kötény), díszlet tervezése és elkészítése természetes vagy mesterséges/újrahasznosítható anyagokból (pl. textil, fonal, papír vagy műanyag hulladék, természetben talált anyagok) csoportmunkában is.</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Gyerekcsoport által ismert mese alapján vár, kastély konstruálása (pl. egyszerű konstruálás papírhengerek összeépítésével, festésével, ajtók, ablakok, ajtók kivágásával, rajzolt szereplőkkel való kiegészítéssel) Szemléltetésre ajánlott képanyag: Márkus Géza: Cifra palota, Kecskemét, magyar várak képei.</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funkció, hagyomány, kézműves technika, díszítés, minta, öltözék</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Természetes és mesterséges környezet – Közvetlen környezetünk</w:t>
      </w:r>
    </w:p>
    <w:p w:rsidP="00000000" w:rsidRDefault="00000000" w:rsidR="00000000" w:rsidRPr="00000000" w:rsidDel="00000000">
      <w:pPr>
        <w:contextualSpacing w:val="0"/>
      </w:pPr>
      <w:r w:rsidR="00000000" w:rsidRPr="00000000" w:rsidDel="00000000">
        <w:rPr>
          <w:rtl w:val="0"/>
        </w:rPr>
        <w:t xml:space="preserve">Javasolt óraszám: 12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egyszerű eszközökkel és anyagokból elképzelt teret rendez, alakít, egyszerű makettet készít egyénileg vagy csoportmunkában, és az elképzelést szövegesen is bemutatja, magyarázza;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saját és társai vizuális munkáit szövegesen értelmezi, kiegészíti, magyarázza;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képek, műalkotások, mozgóképi közlések megtekintése után adott szempontok szerint következtetést fogalmaz meg, megállapításait társaival is megvitatja;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adott cél érdekében alkalmazza a térbeli formaalkotás különböző technikáit egyénileg és csoportmunkában;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saját kommunikációs célból egyszerű térbeli tájékozódást segítő ábrát – alaprajz, térkép – készít;</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különböző egyszerű anyagokkal kísérletezik, szabadon épít, saját célok érdekében konstruál.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közvetlen környezet elemeinek és épülettípusainak (utca, tér, műemlék, nevezetes épület)  összegyűjtése és életszerű megfigyelése, adott helyszínen vagy emlékezetből, megfigyelési szempontok szerinti megörökítése különböző technikákkal (pl. rajzolás, festés, mintázás, montázs).</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közvetlen környezet különböző méretű tereinek (pl. utca, játszótér, buszmegálló, saját szoba, éléskamra, fiók) megfigyelése és leírása különböző szempontok szerint (pl. zajok, szagok, színek, funkciók, rendezettség) és a tapasztalatok felhasználásával a tér áttervezése a tér jellemzőinek, stílusának vagy hangulatának megváltoztatása érdekében, csoportmunkában is. A tervezés érdekében egyszerű rajzok készítése és szöveges magyarázata.</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közvetlen környezet épített/tervezett elemeinek és épülettípusainak összegyűjtése (pl. park, iskola, vegyesbolt, templom, bisztró, víztorony, szemétgyűjtő sziget) és vizuális megjelenítése különböző eszközökkel síkban és térben (pl. rajz, festés, montázs, talált tárgy átalakítás, makett). A gyűjtés segítségével a szűkebb lakóhely választott részletének makettezése vagy megépítése egyszerű anyagokból, a tér játékos bemutatása érdekében, csoportmunkában is.</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Helyi múzeum, kiállítás, helytörténeti gyűjtemény, tájház látogatása, azzal kapcsolatos ismeretszerzés alapján élményszerű vizuális megjelenítés.</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építészet, műemlék, műemlékvédelem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Vizuális kultúra 2. évfolyam.docx</dc:title>
</cp:coreProperties>
</file>

<file path=docProps/custom.xml><?xml version="1.0" encoding="utf-8"?>
<Properties xmlns="http://schemas.openxmlformats.org/officeDocument/2006/custom-properties" xmlns:vt="http://schemas.openxmlformats.org/officeDocument/2006/docPropsVTypes"/>
</file>